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EF" w:rsidRPr="00FE0D5F" w:rsidRDefault="008F42EF" w:rsidP="008F42EF">
      <w:pPr>
        <w:pStyle w:val="Standard"/>
        <w:jc w:val="center"/>
      </w:pPr>
      <w:r w:rsidRPr="00FE0D5F">
        <w:rPr>
          <w:rFonts w:ascii="Times New Roman" w:hAnsi="Times New Roman" w:cs="Times New Roman"/>
          <w:b/>
        </w:rPr>
        <w:t>FORMULÁRIO DE OFERTA – Lote IV</w:t>
      </w:r>
    </w:p>
    <w:p w:rsidR="008F42EF" w:rsidRPr="00FE0D5F" w:rsidRDefault="008F42EF" w:rsidP="008F42EF">
      <w:pPr>
        <w:pStyle w:val="Textbody"/>
        <w:rPr>
          <w:sz w:val="22"/>
          <w:szCs w:val="22"/>
        </w:rPr>
      </w:pPr>
      <w:r w:rsidRPr="00FE0D5F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FE0D5F">
        <w:rPr>
          <w:b/>
          <w:sz w:val="22"/>
          <w:szCs w:val="22"/>
        </w:rPr>
        <w:t>n.º</w:t>
      </w:r>
      <w:proofErr w:type="gramEnd"/>
      <w:r w:rsidRPr="00FE0D5F">
        <w:rPr>
          <w:b/>
          <w:sz w:val="22"/>
          <w:szCs w:val="22"/>
        </w:rPr>
        <w:t xml:space="preserve"> TF018765</w:t>
      </w:r>
    </w:p>
    <w:p w:rsidR="008F42EF" w:rsidRPr="00FE0D5F" w:rsidRDefault="008F42EF" w:rsidP="008F42EF">
      <w:pPr>
        <w:pStyle w:val="Textbody"/>
        <w:rPr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sz w:val="22"/>
          <w:szCs w:val="22"/>
        </w:rPr>
      </w:pPr>
      <w:r w:rsidRPr="00FE0D5F">
        <w:rPr>
          <w:sz w:val="22"/>
          <w:szCs w:val="22"/>
        </w:rPr>
        <w:t xml:space="preserve"> </w:t>
      </w:r>
      <w:r w:rsidRPr="00FE0D5F">
        <w:rPr>
          <w:sz w:val="22"/>
          <w:szCs w:val="22"/>
        </w:rPr>
        <w:tab/>
      </w:r>
      <w:r w:rsidRPr="00FE0D5F">
        <w:rPr>
          <w:sz w:val="22"/>
          <w:szCs w:val="22"/>
        </w:rPr>
        <w:tab/>
        <w:t xml:space="preserve">Prezados </w:t>
      </w:r>
      <w:proofErr w:type="gramStart"/>
      <w:r w:rsidRPr="00FE0D5F">
        <w:rPr>
          <w:sz w:val="22"/>
          <w:szCs w:val="22"/>
        </w:rPr>
        <w:t xml:space="preserve">Senhores,   </w:t>
      </w:r>
      <w:proofErr w:type="gramEnd"/>
      <w:r w:rsidRPr="00FE0D5F">
        <w:rPr>
          <w:sz w:val="22"/>
          <w:szCs w:val="22"/>
        </w:rPr>
        <w:t xml:space="preserve">                                                  _________/______/__________</w:t>
      </w:r>
    </w:p>
    <w:p w:rsidR="008F42EF" w:rsidRPr="00FE0D5F" w:rsidRDefault="008F42EF" w:rsidP="008F42EF">
      <w:pPr>
        <w:pStyle w:val="Textbody"/>
        <w:ind w:firstLine="567"/>
        <w:rPr>
          <w:color w:val="FF0000"/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color w:val="000000" w:themeColor="text1"/>
          <w:sz w:val="22"/>
          <w:szCs w:val="22"/>
        </w:rPr>
      </w:pPr>
      <w:r w:rsidRPr="00FE0D5F">
        <w:rPr>
          <w:color w:val="FF0000"/>
          <w:sz w:val="22"/>
          <w:szCs w:val="22"/>
        </w:rPr>
        <w:t xml:space="preserve"> </w:t>
      </w:r>
      <w:r w:rsidRPr="00FE0D5F">
        <w:rPr>
          <w:color w:val="FF0000"/>
          <w:sz w:val="22"/>
          <w:szCs w:val="22"/>
        </w:rPr>
        <w:tab/>
      </w:r>
      <w:r w:rsidRPr="00FE0D5F">
        <w:rPr>
          <w:color w:val="FF0000"/>
          <w:sz w:val="22"/>
          <w:szCs w:val="22"/>
        </w:rPr>
        <w:tab/>
      </w:r>
      <w:r w:rsidRPr="00EB68E8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EB68E8">
        <w:rPr>
          <w:color w:val="000000" w:themeColor="text1"/>
          <w:sz w:val="22"/>
          <w:szCs w:val="22"/>
        </w:rPr>
        <w:t>V.Sª</w:t>
      </w:r>
      <w:proofErr w:type="spellEnd"/>
      <w:r w:rsidRPr="00EB68E8">
        <w:rPr>
          <w:color w:val="000000" w:themeColor="text1"/>
          <w:sz w:val="22"/>
          <w:szCs w:val="22"/>
        </w:rPr>
        <w:t xml:space="preserve">. </w:t>
      </w:r>
      <w:proofErr w:type="gramStart"/>
      <w:r w:rsidRPr="00EB68E8">
        <w:rPr>
          <w:color w:val="000000" w:themeColor="text1"/>
          <w:sz w:val="22"/>
          <w:szCs w:val="22"/>
        </w:rPr>
        <w:t>nossa</w:t>
      </w:r>
      <w:proofErr w:type="gramEnd"/>
      <w:r w:rsidRPr="00EB68E8">
        <w:rPr>
          <w:color w:val="000000" w:themeColor="text1"/>
          <w:sz w:val="22"/>
          <w:szCs w:val="22"/>
        </w:rPr>
        <w:t xml:space="preserve"> Cotação de preços para o </w:t>
      </w:r>
      <w:r w:rsidRPr="00EB68E8">
        <w:rPr>
          <w:sz w:val="22"/>
          <w:szCs w:val="22"/>
        </w:rPr>
        <w:t xml:space="preserve">Aquisição de 24  Projetores, 22 telas para projeção para </w:t>
      </w:r>
      <w:r w:rsidRPr="00EB68E8">
        <w:rPr>
          <w:b/>
          <w:sz w:val="22"/>
          <w:szCs w:val="22"/>
        </w:rPr>
        <w:t>o acordo de Fortalecimento de Subprojetos e Organizações</w:t>
      </w:r>
      <w:r w:rsidRPr="00EB68E8">
        <w:rPr>
          <w:color w:val="000000" w:themeColor="text1"/>
          <w:sz w:val="22"/>
          <w:szCs w:val="22"/>
        </w:rPr>
        <w:t>, nos termos desta solicitação de cotação 008/2021.</w:t>
      </w:r>
    </w:p>
    <w:p w:rsidR="008F42EF" w:rsidRPr="00FE0D5F" w:rsidRDefault="008F42EF" w:rsidP="008F42EF">
      <w:pPr>
        <w:pStyle w:val="Textbody"/>
        <w:rPr>
          <w:color w:val="000000" w:themeColor="text1"/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  <w:r w:rsidRPr="00FE0D5F">
        <w:rPr>
          <w:color w:val="000000" w:themeColor="text1"/>
          <w:sz w:val="22"/>
          <w:szCs w:val="22"/>
        </w:rPr>
        <w:t xml:space="preserve">LOTE </w:t>
      </w:r>
      <w:proofErr w:type="gramStart"/>
      <w:r w:rsidRPr="00FE0D5F">
        <w:rPr>
          <w:color w:val="000000" w:themeColor="text1"/>
          <w:sz w:val="22"/>
          <w:szCs w:val="22"/>
        </w:rPr>
        <w:t>n.º</w:t>
      </w:r>
      <w:proofErr w:type="gramEnd"/>
      <w:r w:rsidRPr="00FE0D5F">
        <w:rPr>
          <w:color w:val="000000" w:themeColor="text1"/>
          <w:sz w:val="22"/>
          <w:szCs w:val="22"/>
        </w:rPr>
        <w:t xml:space="preserve"> IV – PROJETOR MULTIMÍDIA E TELA DE PROJEÇÃO</w:t>
      </w:r>
    </w:p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8F42EF" w:rsidRPr="00FE0D5F" w:rsidTr="00772B5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8F42EF" w:rsidRPr="00FE0D5F" w:rsidRDefault="008F42E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E0D5F">
              <w:rPr>
                <w:rFonts w:ascii="Times New Roman" w:hAnsi="Times New Roman"/>
                <w:b/>
                <w:sz w:val="22"/>
                <w:szCs w:val="22"/>
              </w:rPr>
              <w:t>PROJETOR MULTIMÍDIA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24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ESPECIFICAÇÕES MÍNIMAS: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Características gerais:</w:t>
            </w: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Lente de projeção com ajuste de zoo e foco; 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Relação de contraste: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mínimo de 400:1;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Resolução nativa: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SVGA (800x600) ou superior;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Tecnologia: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LCD ou DLP; </w:t>
            </w: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Brilho:</w:t>
            </w:r>
            <w:r w:rsidRPr="00FE0D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mínimo de 2.000 ANSI lumens; </w:t>
            </w:r>
          </w:p>
          <w:p w:rsidR="008F42EF" w:rsidRPr="00FE0D5F" w:rsidRDefault="008F42EF" w:rsidP="00772B56">
            <w:pPr>
              <w:spacing w:line="200" w:lineRule="atLeast"/>
              <w:ind w:left="11"/>
              <w:rPr>
                <w:rFonts w:ascii="Times New Roman" w:hAnsi="Times New Roman"/>
                <w:szCs w:val="22"/>
              </w:rPr>
            </w:pPr>
            <w:r w:rsidRPr="00FE0D5F">
              <w:rPr>
                <w:rFonts w:ascii="Times New Roman" w:hAnsi="Times New Roman"/>
                <w:bCs/>
                <w:i/>
                <w:szCs w:val="22"/>
                <w:u w:val="single"/>
              </w:rPr>
              <w:t>Acessórios/alimentação:</w:t>
            </w:r>
            <w:r w:rsidRPr="00FE0D5F">
              <w:rPr>
                <w:rFonts w:ascii="Times New Roman" w:hAnsi="Times New Roman"/>
                <w:szCs w:val="22"/>
              </w:rPr>
              <w:t xml:space="preserve"> Controle remoto com pilhas; cabo VGA; Cabo de alimentação de energia elétrica com Fonte de alimentação para operação numa tensão de 110V a 220V</w:t>
            </w:r>
          </w:p>
          <w:p w:rsidR="008F42EF" w:rsidRPr="00FE0D5F" w:rsidRDefault="008F42EF" w:rsidP="00772B56">
            <w:pPr>
              <w:spacing w:line="200" w:lineRule="atLeast"/>
              <w:ind w:left="11"/>
              <w:jc w:val="center"/>
              <w:rPr>
                <w:rFonts w:ascii="Times New Roman" w:hAnsi="Times New Roman"/>
                <w:szCs w:val="22"/>
              </w:rPr>
            </w:pPr>
          </w:p>
          <w:p w:rsidR="008F42EF" w:rsidRPr="00FE0D5F" w:rsidRDefault="008F42EF" w:rsidP="00772B5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GARANTIA MÍNIMA DE 12 MESES</w:t>
            </w: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TELA PARA PROJEÇÃO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F42EF" w:rsidRPr="00FE0D5F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ESPECIFICAÇÕES MÍNIMAS: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Tela de projeção retrátil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Tripé:</w:t>
            </w: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telescópio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Enrolamento Automático por sistema de mola com parada multiponto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Área de projeção:</w:t>
            </w: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1.80</w:t>
            </w:r>
            <w:proofErr w:type="gramStart"/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  x</w:t>
            </w:r>
            <w:proofErr w:type="gramEnd"/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1.80M </w:t>
            </w:r>
          </w:p>
          <w:p w:rsidR="008F42EF" w:rsidRPr="00FE0D5F" w:rsidRDefault="008F42EF" w:rsidP="00772B56">
            <w:pPr>
              <w:pStyle w:val="Default"/>
              <w:ind w:left="11" w:hanging="1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Fundo branco opaco </w:t>
            </w:r>
          </w:p>
          <w:p w:rsidR="008F42EF" w:rsidRPr="00FE0D5F" w:rsidRDefault="008F42EF" w:rsidP="00772B56">
            <w:pPr>
              <w:pStyle w:val="Default"/>
              <w:ind w:lef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8F42EF" w:rsidRPr="00FE0D5F" w:rsidRDefault="008F42EF" w:rsidP="00772B56">
            <w:pPr>
              <w:pStyle w:val="Default"/>
              <w:ind w:left="1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E0D5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GARANTIA MÍNIMA DE 12 MESES</w:t>
            </w: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42EF" w:rsidRPr="00FE0D5F" w:rsidRDefault="008F42E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8F42EF" w:rsidRPr="00FE0D5F" w:rsidTr="00772B56">
        <w:trPr>
          <w:trHeight w:val="5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D5F">
              <w:rPr>
                <w:b/>
                <w:sz w:val="22"/>
                <w:szCs w:val="22"/>
              </w:rPr>
              <w:t xml:space="preserve">FRETE: </w:t>
            </w:r>
          </w:p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F42EF" w:rsidRPr="00FE0D5F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0D5F">
              <w:rPr>
                <w:b/>
                <w:sz w:val="22"/>
                <w:szCs w:val="22"/>
              </w:rPr>
              <w:t xml:space="preserve">VALOR TOTAL: </w:t>
            </w:r>
          </w:p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p w:rsidR="008F42EF" w:rsidRPr="00FE0D5F" w:rsidRDefault="008F42EF" w:rsidP="008F42EF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8F42EF" w:rsidRPr="00FE0D5F" w:rsidTr="00772B56">
        <w:trPr>
          <w:trHeight w:val="584"/>
        </w:trPr>
        <w:tc>
          <w:tcPr>
            <w:tcW w:w="3079" w:type="dxa"/>
          </w:tcPr>
          <w:p w:rsidR="008F42EF" w:rsidRPr="00FE0D5F" w:rsidRDefault="008F42E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FE0D5F">
              <w:rPr>
                <w:b/>
                <w:sz w:val="22"/>
                <w:szCs w:val="22"/>
              </w:rPr>
              <w:t>VALOR POR EXTENSO:</w:t>
            </w:r>
          </w:p>
          <w:p w:rsidR="008F42EF" w:rsidRPr="00FE0D5F" w:rsidRDefault="008F42E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8F42EF" w:rsidRPr="00FE0D5F" w:rsidRDefault="008F42E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8F42EF" w:rsidRPr="00B96D61" w:rsidRDefault="008F42EF" w:rsidP="008F42EF">
      <w:pPr>
        <w:pStyle w:val="Textbody"/>
        <w:rPr>
          <w:b/>
          <w:i/>
          <w:sz w:val="22"/>
          <w:szCs w:val="22"/>
        </w:rPr>
      </w:pPr>
      <w:r w:rsidRPr="00FE0D5F">
        <w:rPr>
          <w:b/>
          <w:i/>
          <w:sz w:val="22"/>
          <w:szCs w:val="22"/>
        </w:rPr>
        <w:t xml:space="preserve"> </w:t>
      </w:r>
      <w:r w:rsidRPr="00FE0D5F">
        <w:rPr>
          <w:b/>
          <w:i/>
          <w:color w:val="000000" w:themeColor="text1"/>
          <w:sz w:val="22"/>
          <w:szCs w:val="22"/>
        </w:rPr>
        <w:tab/>
      </w:r>
      <w:r w:rsidRPr="00B96D61">
        <w:rPr>
          <w:b/>
          <w:i/>
          <w:sz w:val="22"/>
          <w:szCs w:val="22"/>
        </w:rPr>
        <w:t>A validade da Cotação deverá ser, no mínimo, até dia 14/07/2021 ou seja, 15 (quinze) dias corridas da data limite de envio da Cotação.</w:t>
      </w:r>
    </w:p>
    <w:p w:rsidR="008F42EF" w:rsidRPr="00FE0D5F" w:rsidRDefault="008F42EF" w:rsidP="008F42EF">
      <w:pPr>
        <w:pStyle w:val="Textbody"/>
        <w:rPr>
          <w:b/>
          <w:kern w:val="1"/>
          <w:szCs w:val="22"/>
        </w:rPr>
      </w:pPr>
    </w:p>
    <w:p w:rsidR="008F42EF" w:rsidRPr="00FE0D5F" w:rsidRDefault="008F42EF" w:rsidP="008F42EF">
      <w:pPr>
        <w:textAlignment w:val="baseline"/>
        <w:rPr>
          <w:rFonts w:ascii="Times New Roman" w:hAnsi="Times New Roman"/>
          <w:kern w:val="2"/>
          <w:szCs w:val="22"/>
        </w:rPr>
      </w:pPr>
      <w:r w:rsidRPr="00FE0D5F">
        <w:rPr>
          <w:rFonts w:ascii="Times New Roman" w:hAnsi="Times New Roman"/>
          <w:kern w:val="2"/>
          <w:szCs w:val="22"/>
        </w:rPr>
        <w:lastRenderedPageBreak/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8F42EF" w:rsidRPr="00FE0D5F" w:rsidRDefault="008F42EF" w:rsidP="008F42EF">
      <w:pPr>
        <w:textAlignment w:val="baseline"/>
        <w:rPr>
          <w:kern w:val="1"/>
          <w:szCs w:val="22"/>
        </w:rPr>
      </w:pP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  <w:r w:rsidRPr="00FE0D5F">
        <w:rPr>
          <w:sz w:val="22"/>
          <w:szCs w:val="22"/>
          <w:lang w:eastAsia="ar-SA"/>
        </w:rPr>
        <w:t xml:space="preserve">Declaramos que </w:t>
      </w:r>
      <w:r w:rsidRPr="00FE0D5F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FE0D5F">
        <w:rPr>
          <w:b/>
          <w:sz w:val="22"/>
          <w:szCs w:val="22"/>
          <w:lang w:eastAsia="ar-SA"/>
        </w:rPr>
        <w:t xml:space="preserve"> ESTÃO INCLUÍDAS TODAS AS DESPESAS</w:t>
      </w:r>
      <w:r w:rsidRPr="00FE0D5F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  <w:r w:rsidRPr="00FE0D5F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7768A6" wp14:editId="00F68EBC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EF" w:rsidRDefault="008F42EF" w:rsidP="008F4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768A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ntLwIAAFcEAAAOAAAAZHJzL2Uyb0RvYy54bWysVNuO0zAQfUfiHyy/0zSlXbpR09XSpQhp&#10;uUi7fMDEcRoLx2Nst0n5esZOt1QLvCDyYHk84+OZc2ayuhk6zQ7SeYWm5Plkypk0AmtldiX/+rh9&#10;teTMBzA1aDSy5Efp+c365YtVbws5wxZ1LR0jEOOL3pa8DcEWWeZFKzvwE7TSkLNB10Eg0+2y2kFP&#10;6J3OZtPpVdajq61DIb2n07vRydcJv2mkCJ+bxsvAdMkpt5BWl9Yqrtl6BcXOgW2VOKUB/5BFB8rQ&#10;o2eoOwjA9k79BtUp4dBjEyYCuwybRgmZaqBq8umzah5asDLVQuR4e6bJ/z9Y8enwxTFVl3zOmYGO&#10;JNqAGoDVkj3KISCbR4566wsKfbAUHIa3OJDWqV5v71F888zgpgWzk7fOYd9KqCnHPN7MLq6OOD6C&#10;VP1HrOkx2AdMQEPjukggUcIInbQ6nvWhPJigw9czkny54EyQL58v8qs8KZhB8XTdOh/eS+xY3JTc&#10;UQMkeDjc+xDTgeIpJL7mUat6q7ROhttVG+3YAahZtulLFTwL04b1Jb9ezBYjA3+FmKbvTxCdCtT1&#10;WnUlX56DoIi8vTN16skASo97SlmbE5GRu5HFMFTDSZgK6yNR6nDsbppG2rTofnDWU2eX3H/fg5Oc&#10;6Q+GZLnO5/M4CsmYL97MyHCXnurSA0YQVMkDZ+N2E8bx2Vundi29NDaCwVuSslGJ5Kj5mNUpb+re&#10;xP1p0uJ4XNop6tf/YP0T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H0H57S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8F42EF" w:rsidRDefault="008F42EF" w:rsidP="008F42EF"/>
                  </w:txbxContent>
                </v:textbox>
              </v:shape>
            </w:pict>
          </mc:Fallback>
        </mc:AlternateContent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  <w:r w:rsidRPr="00FE0D5F">
        <w:rPr>
          <w:sz w:val="22"/>
          <w:szCs w:val="22"/>
          <w:lang w:eastAsia="ar-SA"/>
        </w:rPr>
        <w:t xml:space="preserve"> </w:t>
      </w:r>
      <w:r w:rsidRPr="00FE0D5F">
        <w:rPr>
          <w:sz w:val="22"/>
          <w:szCs w:val="22"/>
          <w:lang w:eastAsia="ar-SA"/>
        </w:rPr>
        <w:tab/>
      </w:r>
      <w:r w:rsidRPr="00FE0D5F">
        <w:rPr>
          <w:sz w:val="22"/>
          <w:szCs w:val="22"/>
          <w:lang w:eastAsia="ar-SA"/>
        </w:rPr>
        <w:tab/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kern w:val="1"/>
          <w:szCs w:val="22"/>
        </w:rPr>
      </w:pPr>
    </w:p>
    <w:p w:rsidR="008F42EF" w:rsidRPr="00FE0D5F" w:rsidRDefault="008F42EF" w:rsidP="008F42EF">
      <w:pPr>
        <w:rPr>
          <w:rFonts w:ascii="Times New Roman" w:hAnsi="Times New Roman"/>
          <w:b/>
          <w:i/>
          <w:kern w:val="1"/>
          <w:szCs w:val="22"/>
        </w:rPr>
      </w:pPr>
      <w:r w:rsidRPr="00FE0D5F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8F42EF" w:rsidRPr="00FE0D5F" w:rsidRDefault="008F42EF" w:rsidP="008F42EF">
      <w:pPr>
        <w:pStyle w:val="Textbody"/>
        <w:rPr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Razão Social: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CNPJ/MF: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Endereço: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Conta Corrente: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 xml:space="preserve">Representante Legal: 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Nome: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Endereço:</w:t>
      </w:r>
    </w:p>
    <w:p w:rsidR="008F42EF" w:rsidRPr="00FE0D5F" w:rsidRDefault="008F42EF" w:rsidP="008F42EF">
      <w:pPr>
        <w:pStyle w:val="Textbody"/>
        <w:rPr>
          <w:i/>
          <w:sz w:val="22"/>
          <w:szCs w:val="22"/>
          <w:lang w:eastAsia="ar-SA"/>
        </w:rPr>
      </w:pPr>
      <w:r w:rsidRPr="00FE0D5F">
        <w:rPr>
          <w:i/>
          <w:sz w:val="22"/>
          <w:szCs w:val="22"/>
          <w:lang w:eastAsia="ar-SA"/>
        </w:rPr>
        <w:t>CPF:</w:t>
      </w:r>
    </w:p>
    <w:p w:rsidR="008F42EF" w:rsidRPr="00FE0D5F" w:rsidRDefault="008F42EF" w:rsidP="008F42EF">
      <w:pPr>
        <w:pStyle w:val="Textbody"/>
        <w:rPr>
          <w:color w:val="000000" w:themeColor="text1"/>
          <w:sz w:val="22"/>
          <w:szCs w:val="22"/>
        </w:rPr>
      </w:pPr>
      <w:r w:rsidRPr="00FE0D5F">
        <w:rPr>
          <w:i/>
          <w:sz w:val="22"/>
          <w:szCs w:val="22"/>
          <w:lang w:eastAsia="ar-SA"/>
        </w:rPr>
        <w:t xml:space="preserve">RG:              </w:t>
      </w: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8F42EF" w:rsidRDefault="008F42EF" w:rsidP="008F42EF">
      <w:pPr>
        <w:pStyle w:val="Textbody"/>
        <w:rPr>
          <w:color w:val="000000" w:themeColor="text1"/>
          <w:sz w:val="23"/>
          <w:szCs w:val="23"/>
        </w:rPr>
      </w:pPr>
    </w:p>
    <w:p w:rsidR="002C6718" w:rsidRDefault="008F42EF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/>
    <w:p w:rsidR="007A5540" w:rsidRDefault="007A5540" w:rsidP="007A5540">
      <w:pPr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7A5540" w:rsidRDefault="007A5540" w:rsidP="007A5540">
      <w:pPr>
        <w:jc w:val="center"/>
        <w:rPr>
          <w:rFonts w:ascii="Times New Roman" w:eastAsia="Calibri" w:hAnsi="Times New Roman"/>
          <w:b/>
          <w:bCs/>
          <w:sz w:val="24"/>
        </w:rPr>
      </w:pPr>
    </w:p>
    <w:p w:rsidR="007A5540" w:rsidRPr="00101C27" w:rsidRDefault="007A5540" w:rsidP="007A5540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IV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8F42EF" w:rsidRPr="00101C27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8F42EF" w:rsidRPr="00101C27" w:rsidRDefault="008F42E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Aleixo Caetano, N° 280, ST. Deocleciano Silva- Correntina - BA CEP 47650-000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Brasil, número 1308,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Centro,  Paranatinga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MT 78.870-000 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David Caldas, 688, Centro Sul, 64.001-190, Teresina- PI 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Rodovia MT 060, km 27, comunidade Mutuca - zona rural, CAIXA POSTAL Nº 35, CEP: 78170-000 NOSSA SENHORA DO LIVRAMENTO/MT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Maximinio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107 bairro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Sagrada Família Jaboticatubas -MG CEP: 35830-000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Francisco, 122, Miravânia-MG,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39465-000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31 de março 446 Centro de Tocantinia, CEP 77640-000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Antônio do Leste - MT, 78628-000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7 Chácara Boa Esperança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Povoado  Alto Lindo Goiatins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CEP- 77770-000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612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166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Ministro Francisco Campos, 536 Centro CEP 35.640.000 Pompéu MG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Vitória da Conquista, Quadra 133, lote 01, Jardim Eldorado. Várzea Grande- MT. CEP 78.150-658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Luiz, 450, Jardim Popular, São José Dos Quatro Marcos-M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78.285-000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Projeção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Alameda Todos os Santos, Número 227, Sagrada Família Unaí Minas Gerais CEP  38610-000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Principal nº 76 Montes Altos - Maranhão CEP: 65936-000 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Xavante, 07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taparica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Jatobá/PE CEP: 56470-000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Gumercindo Fernandes, 690 - Buarque de Macedo, Conselheiro Lafaiete-MG,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36.409-000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Conselho Terena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SHC/Norte CL 210 BL.C, N. 49 Sala 209/210/211/212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Bairro Asa Norte. Brasília-DF. CEP: 70862-530</w:t>
            </w:r>
          </w:p>
        </w:tc>
      </w:tr>
      <w:tr w:rsidR="008F42EF" w:rsidRPr="00464D50" w:rsidTr="00772B56">
        <w:trPr>
          <w:trHeight w:val="837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Martinha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Panta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Costa, Lote 1, Quadra 9, 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ntro, S/N Lagoa Da Confusão /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 -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77.493-000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917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Coronel Manuel Bandeira, 2</w:t>
            </w:r>
            <w:r>
              <w:rPr>
                <w:rFonts w:ascii="Times New Roman" w:hAnsi="Times New Roman"/>
                <w:color w:val="000000"/>
                <w:sz w:val="24"/>
              </w:rPr>
              <w:t>354 Centro, Imperatriz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65.900-010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105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403 sul alameda 19, lote 12, QI 04, CEP 77.015.581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Costa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 Silva, S/N Centro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Itacaja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77720-000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609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Avenida Sã</w:t>
            </w:r>
            <w:r>
              <w:rPr>
                <w:rFonts w:ascii="Times New Roman" w:hAnsi="Times New Roman"/>
                <w:color w:val="000000"/>
                <w:sz w:val="24"/>
              </w:rPr>
              <w:t>o Paulo, 202 Centro, Canarana 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78.640-000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sz w:val="24"/>
              </w:rPr>
              <w:t xml:space="preserve">Rua angico n 38 Bairro arvoredo Manga-MG </w:t>
            </w:r>
            <w:r w:rsidRPr="00464D50">
              <w:rPr>
                <w:rFonts w:ascii="Times New Roman" w:hAnsi="Times New Roman"/>
                <w:sz w:val="24"/>
              </w:rPr>
              <w:br/>
              <w:t>CEP 39.460.000</w:t>
            </w: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Wyty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Caty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Coronel Manuel Band</w:t>
            </w:r>
            <w:r>
              <w:rPr>
                <w:rFonts w:ascii="Times New Roman" w:hAnsi="Times New Roman"/>
                <w:color w:val="000000"/>
                <w:sz w:val="24"/>
              </w:rPr>
              <w:t>eira, 2354 Centro, Imperatriz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65.900-010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Tela de Projeção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ua Nelson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Louzeiro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nr.986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Tocantínia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TO  CEP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>: 77640-000</w:t>
            </w:r>
          </w:p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8F42EF" w:rsidRPr="00464D50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Projetor Multimídia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2EF" w:rsidRPr="00464D50" w:rsidRDefault="008F42E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 Avenida Municipal,2834, Jardim Santa Fé, CEP 78.250-000, Município de Pontes e Lacerda/MT. </w:t>
            </w:r>
          </w:p>
        </w:tc>
      </w:tr>
    </w:tbl>
    <w:p w:rsidR="007A5540" w:rsidRPr="007A5540" w:rsidRDefault="007A5540" w:rsidP="007A5540">
      <w:pPr>
        <w:jc w:val="center"/>
      </w:pPr>
      <w:bookmarkStart w:id="0" w:name="_GoBack"/>
      <w:bookmarkEnd w:id="0"/>
    </w:p>
    <w:sectPr w:rsidR="007A5540" w:rsidRPr="007A5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40"/>
    <w:rsid w:val="005F7198"/>
    <w:rsid w:val="006B102B"/>
    <w:rsid w:val="007A5540"/>
    <w:rsid w:val="008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ED8F-D40E-4881-BB52-517A29AE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7A5540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7A5540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7A5540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7A5540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7A5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7A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2</cp:revision>
  <dcterms:created xsi:type="dcterms:W3CDTF">2021-06-06T23:46:00Z</dcterms:created>
  <dcterms:modified xsi:type="dcterms:W3CDTF">2021-06-11T20:26:00Z</dcterms:modified>
</cp:coreProperties>
</file>